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当现有工具解决不了业务问题，我用 ChatGPT + Codex 做了一套自己的课程平台</w:t>
      </w:r>
    </w:p>
    <w:p>
      <w:pPr>
        <w:pStyle w:val="Subtitle"/>
      </w:pPr>
      <w:r>
        <w:t>一个从真实商业痛点出发，利用 AI Coding 完成软件建设、部署和持续改进的案例</w:t>
      </w:r>
    </w:p>
    <w:p>
      <w:r>
        <w:t>南枫在线课程系统｜商业落地作品集｜面向 AI 应用、AI Coding 与 AI Agent 岗位</w:t>
      </w:r>
    </w:p>
    <w:p>
      <w:r>
        <w:t>项目不是从零生成的演示品，而是在既有课程系统基础上持续改造。我负责业务判断、任务拆解、风险边界和验收；ChatGPT 辅助分析与方案推演；Codex 阅读代码、实施修改并运行定向验证。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766560" cy="4699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-工作台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69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运营工作台｜项目真实页面截图，已脱敏</w:t>
      </w:r>
    </w:p>
    <w:p>
      <w:pPr>
        <w:pStyle w:val="Heading1"/>
      </w:pPr>
      <w:r>
        <w:t>01 业务先遇到了什么问题</w:t>
      </w:r>
    </w:p>
    <w:p>
      <w:r>
        <w:t>我们是一支女性成长、两性关系与性健康科普教育内容团队，面向成年人提供专业视频课程。课程包含敏感健康教育主题和教学演示，需要在遵守适用法律与内容规范的前提下稳定交付。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7"/>
        <w:gridCol w:w="4987"/>
        <w:gridCol w:w="4987"/>
      </w:tblGrid>
      <w:tr>
        <w:tc>
          <w:tcPr>
            <w:tcW w:type="dxa" w:w="2304"/>
            <w:vAlign w:val="center"/>
            <w:shd w:fill="142B45"/>
          </w:tcPr>
          <w:p>
            <w:r>
              <w:t>原有方式</w:t>
            </w:r>
          </w:p>
        </w:tc>
        <w:tc>
          <w:tcPr>
            <w:tcW w:type="dxa" w:w="4320"/>
            <w:vAlign w:val="center"/>
            <w:shd w:fill="142B45"/>
          </w:tcPr>
          <w:p>
            <w:r>
              <w:t>实际摩擦</w:t>
            </w:r>
          </w:p>
        </w:tc>
        <w:tc>
          <w:tcPr>
            <w:tcW w:type="dxa" w:w="4032"/>
            <w:vAlign w:val="center"/>
            <w:shd w:fill="142B45"/>
          </w:tcPr>
          <w:p>
            <w:r>
              <w:t>业务影响</w:t>
            </w:r>
          </w:p>
        </w:tc>
      </w:tr>
      <w:tr>
        <w:tc>
          <w:tcPr>
            <w:tcW w:type="dxa" w:w="2304"/>
            <w:vAlign w:val="center"/>
            <w:shd w:fill="FFFFFF"/>
          </w:tcPr>
          <w:p>
            <w:r>
              <w:t>第三方课程平台</w:t>
            </w:r>
          </w:p>
        </w:tc>
        <w:tc>
          <w:tcPr>
            <w:tcW w:type="dxa" w:w="4320"/>
            <w:vAlign w:val="center"/>
            <w:shd w:fill="FFFFFF"/>
          </w:tcPr>
          <w:p>
            <w:r>
              <w:t>部分课程内容无法稳定上传或交付，适配性需要逐项确认</w:t>
            </w:r>
          </w:p>
        </w:tc>
        <w:tc>
          <w:tcPr>
            <w:tcW w:type="dxa" w:w="4032"/>
            <w:vAlign w:val="center"/>
            <w:shd w:fill="FFFFFF"/>
          </w:tcPr>
          <w:p>
            <w:r>
              <w:t>课程发布存在不确定性</w:t>
            </w:r>
          </w:p>
        </w:tc>
      </w:tr>
      <w:tr>
        <w:tc>
          <w:tcPr>
            <w:tcW w:type="dxa" w:w="2304"/>
            <w:vAlign w:val="center"/>
            <w:shd w:fill="EEF3F7"/>
          </w:tcPr>
          <w:p>
            <w:r>
              <w:t>网盘链接</w:t>
            </w:r>
          </w:p>
        </w:tc>
        <w:tc>
          <w:tcPr>
            <w:tcW w:type="dxa" w:w="4320"/>
            <w:vAlign w:val="center"/>
            <w:shd w:fill="EEF3F7"/>
          </w:tcPr>
          <w:p>
            <w:r>
              <w:t>购买后还要找链接、打开网盘、定位文件并逐个播放</w:t>
            </w:r>
          </w:p>
        </w:tc>
        <w:tc>
          <w:tcPr>
            <w:tcW w:type="dxa" w:w="4032"/>
            <w:vAlign w:val="center"/>
            <w:shd w:fill="EEF3F7"/>
          </w:tcPr>
          <w:p>
            <w:r>
              <w:t>学习路径分散，对不熟悉网盘的学员不友好</w:t>
            </w:r>
          </w:p>
        </w:tc>
      </w:tr>
      <w:tr>
        <w:tc>
          <w:tcPr>
            <w:tcW w:type="dxa" w:w="2304"/>
            <w:vAlign w:val="center"/>
            <w:shd w:fill="FFFFFF"/>
          </w:tcPr>
          <w:p>
            <w:r>
              <w:t>独立媒体库</w:t>
            </w:r>
          </w:p>
        </w:tc>
        <w:tc>
          <w:tcPr>
            <w:tcW w:type="dxa" w:w="4320"/>
            <w:vAlign w:val="center"/>
            <w:shd w:fill="FFFFFF"/>
          </w:tcPr>
          <w:p>
            <w:r>
              <w:t>管理对象、播放资源和课程绑定需要理解技术概念</w:t>
            </w:r>
          </w:p>
        </w:tc>
        <w:tc>
          <w:tcPr>
            <w:tcW w:type="dxa" w:w="4032"/>
            <w:vAlign w:val="center"/>
            <w:shd w:fill="FFFFFF"/>
          </w:tcPr>
          <w:p>
            <w:r>
              <w:t>运营仍依赖技术人员协助</w:t>
            </w:r>
          </w:p>
        </w:tc>
      </w:tr>
      <w:tr>
        <w:tc>
          <w:tcPr>
            <w:tcW w:type="dxa" w:w="2304"/>
            <w:vAlign w:val="center"/>
            <w:shd w:fill="EEF3F7"/>
          </w:tcPr>
          <w:p>
            <w:r>
              <w:t>退款后处理</w:t>
            </w:r>
          </w:p>
        </w:tc>
        <w:tc>
          <w:tcPr>
            <w:tcW w:type="dxa" w:w="4320"/>
            <w:vAlign w:val="center"/>
            <w:shd w:fill="EEF3F7"/>
          </w:tcPr>
          <w:p>
            <w:r>
              <w:t>普通分享链接难以统一管理平台账号的课程访问</w:t>
            </w:r>
          </w:p>
        </w:tc>
        <w:tc>
          <w:tcPr>
            <w:tcW w:type="dxa" w:w="4032"/>
            <w:vAlign w:val="center"/>
            <w:shd w:fill="EEF3F7"/>
          </w:tcPr>
          <w:p>
            <w:r>
              <w:t>需要能及时撤销平台内授权</w:t>
            </w:r>
          </w:p>
        </w:tc>
      </w:tr>
    </w:tbl>
    <w:p/>
    <w:p>
      <w:r>
        <w:t>平台适配判断来自团队自身的实际交付经历，不代表所有第三方平台都不支持此类内容，也不用于规避法律或平台规则。</w:t>
      </w:r>
    </w:p>
    <w:p>
      <w:pPr>
        <w:pStyle w:val="Heading1"/>
      </w:pPr>
      <w:r>
        <w:t>02 为什么决定自建课程平台</w:t>
      </w:r>
    </w:p>
    <w:p>
      <w:r>
        <w:t>继续拼接网盘、媒体存储和人工表格，仍然无法把课程目录、学员账号、授权和员工操作串成一个流程。自建的目标是让团队控制自有平台内的账号与在线访问，并不承诺阻止录屏、下载或平台外转存。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481"/>
        <w:gridCol w:w="7481"/>
      </w:tblGrid>
      <w:tr>
        <w:tc>
          <w:tcPr>
            <w:tcW w:type="dxa" w:w="5328"/>
            <w:vAlign w:val="center"/>
            <w:shd w:fill="142B45"/>
          </w:tcPr>
          <w:p>
            <w:r>
              <w:t>网盘交付</w:t>
            </w:r>
          </w:p>
        </w:tc>
        <w:tc>
          <w:tcPr>
            <w:tcW w:type="dxa" w:w="5328"/>
            <w:vAlign w:val="center"/>
            <w:shd w:fill="142B45"/>
          </w:tcPr>
          <w:p>
            <w:r>
              <w:t>自建平台</w:t>
            </w:r>
          </w:p>
        </w:tc>
      </w:tr>
      <w:tr>
        <w:tc>
          <w:tcPr>
            <w:tcW w:type="dxa" w:w="5328"/>
            <w:vAlign w:val="center"/>
            <w:shd w:fill="FFFFFF"/>
          </w:tcPr>
          <w:p>
            <w:r>
              <w:t>购买后发链接 → 打开网盘 → 找文件 → 逐个播放</w:t>
            </w:r>
          </w:p>
        </w:tc>
        <w:tc>
          <w:tcPr>
            <w:tcW w:type="dxa" w:w="5328"/>
            <w:vAlign w:val="center"/>
            <w:shd w:fill="FFFFFF"/>
          </w:tcPr>
          <w:p>
            <w:r>
              <w:t>登录 → 查看已授权课程 → 选择章节 → 在线观看</w:t>
            </w:r>
          </w:p>
        </w:tc>
      </w:tr>
      <w:tr>
        <w:tc>
          <w:tcPr>
            <w:tcW w:type="dxa" w:w="5328"/>
            <w:vAlign w:val="center"/>
            <w:shd w:fill="EEF3F7"/>
          </w:tcPr>
          <w:p>
            <w:r>
              <w:t>员工管理链接与文件</w:t>
            </w:r>
          </w:p>
        </w:tc>
        <w:tc>
          <w:tcPr>
            <w:tcW w:type="dxa" w:w="5328"/>
            <w:vAlign w:val="center"/>
            <w:shd w:fill="EEF3F7"/>
          </w:tcPr>
          <w:p>
            <w:r>
              <w:t>后台上传资源、组织目录、发布课程、授权学员</w:t>
            </w:r>
          </w:p>
        </w:tc>
      </w:tr>
      <w:tr>
        <w:tc>
          <w:tcPr>
            <w:tcW w:type="dxa" w:w="5328"/>
            <w:vAlign w:val="center"/>
            <w:shd w:fill="FFFFFF"/>
          </w:tcPr>
          <w:p>
            <w:r>
              <w:t>退款需人工处理多个分享入口</w:t>
            </w:r>
          </w:p>
        </w:tc>
        <w:tc>
          <w:tcPr>
            <w:tcW w:type="dxa" w:w="5328"/>
            <w:vAlign w:val="center"/>
            <w:shd w:fill="FFFFFF"/>
          </w:tcPr>
          <w:p>
            <w:r>
              <w:t>管理员可撤销系统内整课授权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766560" cy="4699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课程管理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69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课程目录和发布工作区｜项目真实页面截图，已脱敏</w:t>
      </w:r>
    </w:p>
    <w:p>
      <w:pPr>
        <w:pStyle w:val="Heading1"/>
      </w:pPr>
      <w:r>
        <w:t>03 为什么采用 ChatGPT + Codex</w:t>
      </w:r>
    </w:p>
    <w:p>
      <w:r>
        <w:t>项目已有系统基础，业务需求又不断变化。我的选择不是让 AI 一次性生成整套产品，而是把 AI 放进持续迭代流程：先明确业务结果和限制，再让 Agent 阅读现有实现，逐步修改并用测试和真实操作验证。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481"/>
        <w:gridCol w:w="7481"/>
      </w:tblGrid>
      <w:tr>
        <w:tc>
          <w:tcPr>
            <w:tcW w:type="dxa" w:w="2160"/>
            <w:vAlign w:val="center"/>
            <w:shd w:fill="142B45"/>
          </w:tcPr>
          <w:p>
            <w:r>
              <w:t>参与者</w:t>
            </w:r>
          </w:p>
        </w:tc>
        <w:tc>
          <w:tcPr>
            <w:tcW w:type="dxa" w:w="8496"/>
            <w:vAlign w:val="center"/>
            <w:shd w:fill="142B45"/>
          </w:tcPr>
          <w:p>
            <w:r>
              <w:t>具体工作</w:t>
            </w:r>
          </w:p>
        </w:tc>
      </w:tr>
      <w:tr>
        <w:tc>
          <w:tcPr>
            <w:tcW w:type="dxa" w:w="2160"/>
            <w:vAlign w:val="center"/>
            <w:shd w:fill="FFFFFF"/>
          </w:tcPr>
          <w:p>
            <w:r>
              <w:t>我</w:t>
            </w:r>
          </w:p>
        </w:tc>
        <w:tc>
          <w:tcPr>
            <w:tcW w:type="dxa" w:w="8496"/>
            <w:vAlign w:val="center"/>
            <w:shd w:fill="FFFFFF"/>
          </w:tcPr>
          <w:p>
            <w:r>
              <w:t>发现问题、判断优先级、确定数据与生产边界、验收业务结果</w:t>
            </w:r>
          </w:p>
        </w:tc>
      </w:tr>
      <w:tr>
        <w:tc>
          <w:tcPr>
            <w:tcW w:type="dxa" w:w="2160"/>
            <w:vAlign w:val="center"/>
            <w:shd w:fill="EEF3F7"/>
          </w:tcPr>
          <w:p>
            <w:r>
              <w:t>ChatGPT</w:t>
            </w:r>
          </w:p>
        </w:tc>
        <w:tc>
          <w:tcPr>
            <w:tcW w:type="dxa" w:w="8496"/>
            <w:vAlign w:val="center"/>
            <w:shd w:fill="EEF3F7"/>
          </w:tcPr>
          <w:p>
            <w:r>
              <w:t>梳理需求、提出排查路径、协助形成可执行任务与测试条件</w:t>
            </w:r>
          </w:p>
        </w:tc>
      </w:tr>
      <w:tr>
        <w:tc>
          <w:tcPr>
            <w:tcW w:type="dxa" w:w="2160"/>
            <w:vAlign w:val="center"/>
            <w:shd w:fill="FFFFFF"/>
          </w:tcPr>
          <w:p>
            <w:r>
              <w:t>Codex</w:t>
            </w:r>
          </w:p>
        </w:tc>
        <w:tc>
          <w:tcPr>
            <w:tcW w:type="dxa" w:w="8496"/>
            <w:vAlign w:val="center"/>
            <w:shd w:fill="FFFFFF"/>
          </w:tcPr>
          <w:p>
            <w:r>
              <w:t>检查仓库和 API、编辑代码、运行测试、辅助构建与部署</w:t>
            </w:r>
          </w:p>
        </w:tc>
      </w:tr>
      <w:tr>
        <w:tc>
          <w:tcPr>
            <w:tcW w:type="dxa" w:w="2160"/>
            <w:vAlign w:val="center"/>
            <w:shd w:fill="EEF3F7"/>
          </w:tcPr>
          <w:p>
            <w:r>
              <w:t>系统与测试</w:t>
            </w:r>
          </w:p>
        </w:tc>
        <w:tc>
          <w:tcPr>
            <w:tcW w:type="dxa" w:w="8496"/>
            <w:vAlign w:val="center"/>
            <w:shd w:fill="EEF3F7"/>
          </w:tcPr>
          <w:p>
            <w:r>
              <w:t>提供真实请求、数据库状态、浏览器行为和回归证据</w:t>
            </w:r>
          </w:p>
        </w:tc>
      </w:tr>
    </w:tbl>
    <w:p/>
    <w:p>
      <w:pPr>
        <w:pStyle w:val="Heading1"/>
      </w:pPr>
      <w:r>
        <w:t>04 我如何指挥 AI 完成开发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7"/>
        <w:gridCol w:w="4987"/>
        <w:gridCol w:w="4987"/>
      </w:tblGrid>
      <w:tr>
        <w:tc>
          <w:tcPr>
            <w:tcW w:type="dxa" w:w="1728"/>
            <w:vAlign w:val="center"/>
            <w:shd w:fill="142B45"/>
          </w:tcPr>
          <w:p>
            <w:r>
              <w:t>阶段</w:t>
            </w:r>
          </w:p>
        </w:tc>
        <w:tc>
          <w:tcPr>
            <w:tcW w:type="dxa" w:w="4320"/>
            <w:vAlign w:val="center"/>
            <w:shd w:fill="142B45"/>
          </w:tcPr>
          <w:p>
            <w:r>
              <w:t>我提供 / 决定</w:t>
            </w:r>
          </w:p>
        </w:tc>
        <w:tc>
          <w:tcPr>
            <w:tcW w:type="dxa" w:w="4608"/>
            <w:vAlign w:val="center"/>
            <w:shd w:fill="142B45"/>
          </w:tcPr>
          <w:p>
            <w:r>
              <w:t>产出与检查</w:t>
            </w:r>
          </w:p>
        </w:tc>
      </w:tr>
      <w:tr>
        <w:tc>
          <w:tcPr>
            <w:tcW w:type="dxa" w:w="1728"/>
            <w:vAlign w:val="center"/>
            <w:shd w:fill="FFFFFF"/>
          </w:tcPr>
          <w:p>
            <w:r>
              <w:t>业务需求</w:t>
            </w:r>
          </w:p>
        </w:tc>
        <w:tc>
          <w:tcPr>
            <w:tcW w:type="dxa" w:w="4320"/>
            <w:vAlign w:val="center"/>
            <w:shd w:fill="FFFFFF"/>
          </w:tcPr>
          <w:p>
            <w:r>
              <w:t>真实操作、失败现象、用户影响</w:t>
            </w:r>
          </w:p>
        </w:tc>
        <w:tc>
          <w:tcPr>
            <w:tcW w:type="dxa" w:w="4608"/>
            <w:vAlign w:val="center"/>
            <w:shd w:fill="FFFFFF"/>
          </w:tcPr>
          <w:p>
            <w:r>
              <w:t>可复现问题与成功标准</w:t>
            </w:r>
          </w:p>
        </w:tc>
      </w:tr>
      <w:tr>
        <w:tc>
          <w:tcPr>
            <w:tcW w:type="dxa" w:w="1728"/>
            <w:vAlign w:val="center"/>
            <w:shd w:fill="EEF3F7"/>
          </w:tcPr>
          <w:p>
            <w:r>
              <w:t>方案拆解</w:t>
            </w:r>
          </w:p>
        </w:tc>
        <w:tc>
          <w:tcPr>
            <w:tcW w:type="dxa" w:w="4320"/>
            <w:vAlign w:val="center"/>
            <w:shd w:fill="EEF3F7"/>
          </w:tcPr>
          <w:p>
            <w:r>
              <w:t>范围、权限、数据安全、禁止事项</w:t>
            </w:r>
          </w:p>
        </w:tc>
        <w:tc>
          <w:tcPr>
            <w:tcW w:type="dxa" w:w="4608"/>
            <w:vAlign w:val="center"/>
            <w:shd w:fill="EEF3F7"/>
          </w:tcPr>
          <w:p>
            <w:r>
              <w:t>分阶段任务 Prompt</w:t>
            </w:r>
          </w:p>
        </w:tc>
      </w:tr>
      <w:tr>
        <w:tc>
          <w:tcPr>
            <w:tcW w:type="dxa" w:w="1728"/>
            <w:vAlign w:val="center"/>
            <w:shd w:fill="FFFFFF"/>
          </w:tcPr>
          <w:p>
            <w:r>
              <w:t>代码实施</w:t>
            </w:r>
          </w:p>
        </w:tc>
        <w:tc>
          <w:tcPr>
            <w:tcW w:type="dxa" w:w="4320"/>
            <w:vAlign w:val="center"/>
            <w:shd w:fill="FFFFFF"/>
          </w:tcPr>
          <w:p>
            <w:r>
              <w:t>确认改动方向与业务语义</w:t>
            </w:r>
          </w:p>
        </w:tc>
        <w:tc>
          <w:tcPr>
            <w:tcW w:type="dxa" w:w="4608"/>
            <w:vAlign w:val="center"/>
            <w:shd w:fill="FFFFFF"/>
          </w:tcPr>
          <w:p>
            <w:r>
              <w:t>Codex 检查既有代码并最小修改</w:t>
            </w:r>
          </w:p>
        </w:tc>
      </w:tr>
      <w:tr>
        <w:tc>
          <w:tcPr>
            <w:tcW w:type="dxa" w:w="1728"/>
            <w:vAlign w:val="center"/>
            <w:shd w:fill="EEF3F7"/>
          </w:tcPr>
          <w:p>
            <w:r>
              <w:t>验证</w:t>
            </w:r>
          </w:p>
        </w:tc>
        <w:tc>
          <w:tcPr>
            <w:tcW w:type="dxa" w:w="4320"/>
            <w:vAlign w:val="center"/>
            <w:shd w:fill="EEF3F7"/>
          </w:tcPr>
          <w:p>
            <w:r>
              <w:t>要求 API、数据库、浏览器各自给证据</w:t>
            </w:r>
          </w:p>
        </w:tc>
        <w:tc>
          <w:tcPr>
            <w:tcW w:type="dxa" w:w="4608"/>
            <w:vAlign w:val="center"/>
            <w:shd w:fill="EEF3F7"/>
          </w:tcPr>
          <w:p>
            <w:r>
              <w:t>测试结果与失败复现</w:t>
            </w:r>
          </w:p>
        </w:tc>
      </w:tr>
      <w:tr>
        <w:tc>
          <w:tcPr>
            <w:tcW w:type="dxa" w:w="1728"/>
            <w:vAlign w:val="center"/>
            <w:shd w:fill="FFFFFF"/>
          </w:tcPr>
          <w:p>
            <w:r>
              <w:t>交付</w:t>
            </w:r>
          </w:p>
        </w:tc>
        <w:tc>
          <w:tcPr>
            <w:tcW w:type="dxa" w:w="4320"/>
            <w:vAlign w:val="center"/>
            <w:shd w:fill="FFFFFF"/>
          </w:tcPr>
          <w:p>
            <w:r>
              <w:t>决定上线与回滚条件</w:t>
            </w:r>
          </w:p>
        </w:tc>
        <w:tc>
          <w:tcPr>
            <w:tcW w:type="dxa" w:w="4608"/>
            <w:vAlign w:val="center"/>
            <w:shd w:fill="FFFFFF"/>
          </w:tcPr>
          <w:p>
            <w:r>
              <w:t>版本、健康检查、人工验收</w:t>
            </w:r>
          </w:p>
        </w:tc>
      </w:tr>
    </w:tbl>
    <w:p/>
    <w:p>
      <w:r>
        <w:t>任务 Prompt 会写清目标、现状、允许修改范围、禁止操作、验收标准和报告格式。这样能减少 Agent 脱离业务上下文、越界修改或把健康检查误报成业务通过的风险。</w:t>
      </w:r>
    </w:p>
    <w:p>
      <w:pPr>
        <w:pStyle w:val="Heading1"/>
      </w:pPr>
      <w:r>
        <w:t>05 最终交付了哪些业务能力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481"/>
        <w:gridCol w:w="7481"/>
      </w:tblGrid>
      <w:tr>
        <w:tc>
          <w:tcPr>
            <w:tcW w:type="dxa" w:w="5328"/>
            <w:vAlign w:val="center"/>
            <w:shd w:fill="142B45"/>
          </w:tcPr>
          <w:p>
            <w:r>
              <w:t>运营后台</w:t>
            </w:r>
          </w:p>
        </w:tc>
        <w:tc>
          <w:tcPr>
            <w:tcW w:type="dxa" w:w="5328"/>
            <w:vAlign w:val="center"/>
            <w:shd w:fill="142B45"/>
          </w:tcPr>
          <w:p>
            <w:r>
              <w:t>学员端</w:t>
            </w:r>
          </w:p>
        </w:tc>
      </w:tr>
      <w:tr>
        <w:tc>
          <w:tcPr>
            <w:tcW w:type="dxa" w:w="5328"/>
            <w:vAlign w:val="center"/>
            <w:shd w:fill="FFFFFF"/>
          </w:tcPr>
          <w:p>
            <w:r>
              <w:t>课程目录、章节与课时管理</w:t>
            </w:r>
          </w:p>
        </w:tc>
        <w:tc>
          <w:tcPr>
            <w:tcW w:type="dxa" w:w="5328"/>
            <w:vAlign w:val="center"/>
            <w:shd w:fill="FFFFFF"/>
          </w:tcPr>
          <w:p>
            <w:r>
              <w:t>账号登录与已授权课程列表</w:t>
            </w:r>
          </w:p>
        </w:tc>
      </w:tr>
      <w:tr>
        <w:tc>
          <w:tcPr>
            <w:tcW w:type="dxa" w:w="5328"/>
            <w:vAlign w:val="center"/>
            <w:shd w:fill="EEF3F7"/>
          </w:tcPr>
          <w:p>
            <w:r>
              <w:t>课程发布与取消发布</w:t>
            </w:r>
          </w:p>
        </w:tc>
        <w:tc>
          <w:tcPr>
            <w:tcW w:type="dxa" w:w="5328"/>
            <w:vAlign w:val="center"/>
            <w:shd w:fill="EEF3F7"/>
          </w:tcPr>
          <w:p>
            <w:r>
              <w:t>章节目录和在线学习</w:t>
            </w:r>
          </w:p>
        </w:tc>
      </w:tr>
      <w:tr>
        <w:tc>
          <w:tcPr>
            <w:tcW w:type="dxa" w:w="5328"/>
            <w:vAlign w:val="center"/>
            <w:shd w:fill="FFFFFF"/>
          </w:tcPr>
          <w:p>
            <w:r>
              <w:t>HLS 文件夹上传、扫描与导入</w:t>
            </w:r>
          </w:p>
        </w:tc>
        <w:tc>
          <w:tcPr>
            <w:tcW w:type="dxa" w:w="5328"/>
            <w:vAlign w:val="center"/>
            <w:shd w:fill="FFFFFF"/>
          </w:tcPr>
          <w:p>
            <w:r>
              <w:t>视频在线播放与线路选择</w:t>
            </w:r>
          </w:p>
        </w:tc>
      </w:tr>
      <w:tr>
        <w:tc>
          <w:tcPr>
            <w:tcW w:type="dxa" w:w="5328"/>
            <w:vAlign w:val="center"/>
            <w:shd w:fill="EEF3F7"/>
          </w:tcPr>
          <w:p>
            <w:r>
              <w:t>学员账号、课程授权与撤销</w:t>
            </w:r>
          </w:p>
        </w:tc>
        <w:tc>
          <w:tcPr>
            <w:tcW w:type="dxa" w:w="5328"/>
            <w:vAlign w:val="center"/>
            <w:shd w:fill="EEF3F7"/>
          </w:tcPr>
          <w:p>
            <w:r>
              <w:t>服务端校验课程访问</w:t>
            </w:r>
          </w:p>
        </w:tc>
      </w:tr>
      <w:tr>
        <w:tc>
          <w:tcPr>
            <w:tcW w:type="dxa" w:w="5328"/>
            <w:vAlign w:val="center"/>
            <w:shd w:fill="FFFFFF"/>
          </w:tcPr>
          <w:p>
            <w:r>
              <w:t>员工、角色权限与操作审计</w:t>
            </w:r>
          </w:p>
        </w:tc>
        <w:tc>
          <w:tcPr>
            <w:tcW w:type="dxa" w:w="5328"/>
            <w:vAlign w:val="center"/>
            <w:shd w:fill="FFFFFF"/>
          </w:tcPr>
          <w:p>
            <w:r>
              <w:t>按授权访问内容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766560" cy="4699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上传视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69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HLS 上传与导入页面｜项目真实页面截图，已脱敏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766560" cy="4699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员工管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69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员工管理页面｜项目真实页面截图，已脱敏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766560" cy="4699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b-角色权限配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69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角色权限配置页面｜项目真实页面截图，已脱敏</w:t>
      </w:r>
    </w:p>
    <w:p>
      <w:pPr>
        <w:pStyle w:val="Heading1"/>
      </w:pPr>
      <w:r>
        <w:t>06 业务流程带来的变化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7"/>
        <w:gridCol w:w="4987"/>
        <w:gridCol w:w="4987"/>
      </w:tblGrid>
      <w:tr>
        <w:tc>
          <w:tcPr>
            <w:tcW w:type="dxa" w:w="3456"/>
            <w:vAlign w:val="center"/>
            <w:shd w:fill="142B45"/>
          </w:tcPr>
          <w:p>
            <w:r>
              <w:t>之前</w:t>
            </w:r>
          </w:p>
        </w:tc>
        <w:tc>
          <w:tcPr>
            <w:tcW w:type="dxa" w:w="4032"/>
            <w:vAlign w:val="center"/>
            <w:shd w:fill="142B45"/>
          </w:tcPr>
          <w:p>
            <w:r>
              <w:t>平台流程</w:t>
            </w:r>
          </w:p>
        </w:tc>
        <w:tc>
          <w:tcPr>
            <w:tcW w:type="dxa" w:w="2880"/>
            <w:vAlign w:val="center"/>
            <w:shd w:fill="142B45"/>
          </w:tcPr>
          <w:p>
            <w:r>
              <w:t>直接收益</w:t>
            </w:r>
          </w:p>
        </w:tc>
      </w:tr>
      <w:tr>
        <w:tc>
          <w:tcPr>
            <w:tcW w:type="dxa" w:w="3456"/>
            <w:vAlign w:val="center"/>
            <w:shd w:fill="FFFFFF"/>
          </w:tcPr>
          <w:p>
            <w:r>
              <w:t>通过网盘分享文件</w:t>
            </w:r>
          </w:p>
        </w:tc>
        <w:tc>
          <w:tcPr>
            <w:tcW w:type="dxa" w:w="4032"/>
            <w:vAlign w:val="center"/>
            <w:shd w:fill="FFFFFF"/>
          </w:tcPr>
          <w:p>
            <w:r>
              <w:t>后台导入视频并绑定课程课时</w:t>
            </w:r>
          </w:p>
        </w:tc>
        <w:tc>
          <w:tcPr>
            <w:tcW w:type="dxa" w:w="2880"/>
            <w:vAlign w:val="center"/>
            <w:shd w:fill="FFFFFF"/>
          </w:tcPr>
          <w:p>
            <w:r>
              <w:t>运营在课程后台组织内容</w:t>
            </w:r>
          </w:p>
        </w:tc>
      </w:tr>
      <w:tr>
        <w:tc>
          <w:tcPr>
            <w:tcW w:type="dxa" w:w="3456"/>
            <w:vAlign w:val="center"/>
            <w:shd w:fill="EEF3F7"/>
          </w:tcPr>
          <w:p>
            <w:r>
              <w:t>学员自行找文件</w:t>
            </w:r>
          </w:p>
        </w:tc>
        <w:tc>
          <w:tcPr>
            <w:tcW w:type="dxa" w:w="4032"/>
            <w:vAlign w:val="center"/>
            <w:shd w:fill="EEF3F7"/>
          </w:tcPr>
          <w:p>
            <w:r>
              <w:t>登录后按课程目录学习</w:t>
            </w:r>
          </w:p>
        </w:tc>
        <w:tc>
          <w:tcPr>
            <w:tcW w:type="dxa" w:w="2880"/>
            <w:vAlign w:val="center"/>
            <w:shd w:fill="EEF3F7"/>
          </w:tcPr>
          <w:p>
            <w:r>
              <w:t>减少跨工具操作</w:t>
            </w:r>
          </w:p>
        </w:tc>
      </w:tr>
      <w:tr>
        <w:tc>
          <w:tcPr>
            <w:tcW w:type="dxa" w:w="3456"/>
            <w:vAlign w:val="center"/>
            <w:shd w:fill="FFFFFF"/>
          </w:tcPr>
          <w:p>
            <w:r>
              <w:t>退款后处理分享链接</w:t>
            </w:r>
          </w:p>
        </w:tc>
        <w:tc>
          <w:tcPr>
            <w:tcW w:type="dxa" w:w="4032"/>
            <w:vAlign w:val="center"/>
            <w:shd w:fill="FFFFFF"/>
          </w:tcPr>
          <w:p>
            <w:r>
              <w:t>撤销平台内课程授权</w:t>
            </w:r>
          </w:p>
        </w:tc>
        <w:tc>
          <w:tcPr>
            <w:tcW w:type="dxa" w:w="2880"/>
            <w:vAlign w:val="center"/>
            <w:shd w:fill="FFFFFF"/>
          </w:tcPr>
          <w:p>
            <w:r>
              <w:t>统一管理平台账号访问</w:t>
            </w:r>
          </w:p>
        </w:tc>
      </w:tr>
      <w:tr>
        <w:tc>
          <w:tcPr>
            <w:tcW w:type="dxa" w:w="3456"/>
            <w:vAlign w:val="center"/>
            <w:shd w:fill="EEF3F7"/>
          </w:tcPr>
          <w:p>
            <w:r>
              <w:t>员工依赖超级管理员操作</w:t>
            </w:r>
          </w:p>
        </w:tc>
        <w:tc>
          <w:tcPr>
            <w:tcW w:type="dxa" w:w="4032"/>
            <w:vAlign w:val="center"/>
            <w:shd w:fill="EEF3F7"/>
          </w:tcPr>
          <w:p>
            <w:r>
              <w:t>按角色配置模块权限</w:t>
            </w:r>
          </w:p>
        </w:tc>
        <w:tc>
          <w:tcPr>
            <w:tcW w:type="dxa" w:w="2880"/>
            <w:vAlign w:val="center"/>
            <w:shd w:fill="EEF3F7"/>
          </w:tcPr>
          <w:p>
            <w:r>
              <w:t>员工可在授权范围内工作</w:t>
            </w:r>
          </w:p>
        </w:tc>
      </w:tr>
    </w:tbl>
    <w:p/>
    <w:p>
      <w:r>
        <w:t>这些是系统提供的操作能力，不等于已量化的工时节省、退款处理时长或用户满意度提升；目前没有足够的前后基线数字支持百分比结论。</w:t>
      </w:r>
    </w:p>
    <w:p>
      <w:pPr>
        <w:pStyle w:val="Heading1"/>
      </w:pPr>
      <w:r>
        <w:t>07 真实故障案例：视频 Key 不匹配</w:t>
      </w:r>
    </w:p>
    <w:p>
      <w:r>
        <w:t>部分课程打开目录正常，播放初始化却报 “The specified key does not exist”。我把课程、课时、视频数据库绑定、应用解析结果与 R2 对象逐层核对，避免看到错误文案就直接判断对象丢失。仓库可核验的代码根因是路径扫描阶段对对象 Key 做 Unicode NFKC 规范化，可能将全角标点变为半角标点。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481"/>
        <w:gridCol w:w="7481"/>
      </w:tblGrid>
      <w:tr>
        <w:tc>
          <w:tcPr>
            <w:tcW w:type="dxa" w:w="2160"/>
            <w:vAlign w:val="center"/>
            <w:shd w:fill="142B45"/>
          </w:tcPr>
          <w:p>
            <w:r>
              <w:t>步骤</w:t>
            </w:r>
          </w:p>
        </w:tc>
        <w:tc>
          <w:tcPr>
            <w:tcW w:type="dxa" w:w="8496"/>
            <w:vAlign w:val="center"/>
            <w:shd w:fill="142B45"/>
          </w:tcPr>
          <w:p>
            <w:r>
              <w:t>证据与处理</w:t>
            </w:r>
          </w:p>
        </w:tc>
      </w:tr>
      <w:tr>
        <w:tc>
          <w:tcPr>
            <w:tcW w:type="dxa" w:w="2160"/>
            <w:vAlign w:val="center"/>
            <w:shd w:fill="FFFFFF"/>
          </w:tcPr>
          <w:p>
            <w:r>
              <w:t>发现</w:t>
            </w:r>
          </w:p>
        </w:tc>
        <w:tc>
          <w:tcPr>
            <w:tcW w:type="dxa" w:w="8496"/>
            <w:vAlign w:val="center"/>
            <w:shd w:fill="FFFFFF"/>
          </w:tcPr>
          <w:p>
            <w:r>
              <w:t>多个课程在 play-options 阶段失败</w:t>
            </w:r>
          </w:p>
        </w:tc>
      </w:tr>
      <w:tr>
        <w:tc>
          <w:tcPr>
            <w:tcW w:type="dxa" w:w="2160"/>
            <w:vAlign w:val="center"/>
            <w:shd w:fill="EEF3F7"/>
          </w:tcPr>
          <w:p>
            <w:r>
              <w:t>分析</w:t>
            </w:r>
          </w:p>
        </w:tc>
        <w:tc>
          <w:tcPr>
            <w:tcW w:type="dxa" w:w="8496"/>
            <w:vAlign w:val="center"/>
            <w:shd w:fill="EEF3F7"/>
          </w:tcPr>
          <w:p>
            <w:r>
              <w:t>对比数据库 m3u8_path、代码实际 Key 与 R2 对象名</w:t>
            </w:r>
          </w:p>
        </w:tc>
      </w:tr>
      <w:tr>
        <w:tc>
          <w:tcPr>
            <w:tcW w:type="dxa" w:w="2160"/>
            <w:vAlign w:val="center"/>
            <w:shd w:fill="FFFFFF"/>
          </w:tcPr>
          <w:p>
            <w:r>
              <w:t>修复</w:t>
            </w:r>
          </w:p>
        </w:tc>
        <w:tc>
          <w:tcPr>
            <w:tcW w:type="dxa" w:w="8496"/>
            <w:vAlign w:val="center"/>
            <w:shd w:fill="FFFFFF"/>
          </w:tcPr>
          <w:p>
            <w:r>
              <w:t>提交 e2f1694 保留对象 Key 原始字符；绑定修复采用精确映射</w:t>
            </w:r>
          </w:p>
        </w:tc>
      </w:tr>
      <w:tr>
        <w:tc>
          <w:tcPr>
            <w:tcW w:type="dxa" w:w="2160"/>
            <w:vAlign w:val="center"/>
            <w:shd w:fill="EEF3F7"/>
          </w:tcPr>
          <w:p>
            <w:r>
              <w:t>历史结果</w:t>
            </w:r>
          </w:p>
        </w:tc>
        <w:tc>
          <w:tcPr>
            <w:tcW w:type="dxa" w:w="8496"/>
            <w:vAlign w:val="center"/>
            <w:shd w:fill="EEF3F7"/>
          </w:tcPr>
          <w:p>
            <w:r>
              <w:t>任务记录称修复 76 条、涉及 7 门课程，核对 4,779 个 HLS 引用，76/76 个 play-options 返回 200</w:t>
            </w:r>
          </w:p>
        </w:tc>
      </w:tr>
    </w:tbl>
    <w:p/>
    <w:p>
      <w:r>
        <w:t>76 条与 4,779 个为历史任务报告，本次未重新访问生产数据独立复测。HTTP 200 仅证明接口请求成功，不等同于浏览器真实解码播放通过；据历史任务记录，未修改 R2 对象。</w:t>
      </w:r>
    </w:p>
    <w:p>
      <w:pPr>
        <w:pStyle w:val="Heading1"/>
      </w:pPr>
      <w:r>
        <w:t>08 复杂上传问题如何推进</w:t>
      </w:r>
    </w:p>
    <w:p>
      <w:r>
        <w:t>HLS 是由 playlist 和大量分片组成的目录结构。一次上传涉及浏览器相对路径、签名请求头、对象覆盖保护、任务状态、断点恢复、上传后 HEAD 校验和导入前引用检查。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481"/>
        <w:gridCol w:w="7481"/>
      </w:tblGrid>
      <w:tr>
        <w:tc>
          <w:tcPr>
            <w:tcW w:type="dxa" w:w="2880"/>
            <w:vAlign w:val="center"/>
            <w:shd w:fill="142B45"/>
          </w:tcPr>
          <w:p>
            <w:r>
              <w:t>问题类型</w:t>
            </w:r>
          </w:p>
        </w:tc>
        <w:tc>
          <w:tcPr>
            <w:tcW w:type="dxa" w:w="7776"/>
            <w:vAlign w:val="center"/>
            <w:shd w:fill="142B45"/>
          </w:tcPr>
          <w:p>
            <w:r>
              <w:t>工程处理思路</w:t>
            </w:r>
          </w:p>
        </w:tc>
      </w:tr>
      <w:tr>
        <w:tc>
          <w:tcPr>
            <w:tcW w:type="dxa" w:w="2880"/>
            <w:vAlign w:val="center"/>
            <w:shd w:fill="FFFFFF"/>
          </w:tcPr>
          <w:p>
            <w:r>
              <w:t>目录结构</w:t>
            </w:r>
          </w:p>
        </w:tc>
        <w:tc>
          <w:tcPr>
            <w:tcW w:type="dxa" w:w="7776"/>
            <w:vAlign w:val="center"/>
            <w:shd w:fill="FFFFFF"/>
          </w:tcPr>
          <w:p>
            <w:r>
              <w:t>文件夹上传保留相对路径，扫描 playlist 引用</w:t>
            </w:r>
          </w:p>
        </w:tc>
      </w:tr>
      <w:tr>
        <w:tc>
          <w:tcPr>
            <w:tcW w:type="dxa" w:w="2880"/>
            <w:vAlign w:val="center"/>
            <w:shd w:fill="EEF3F7"/>
          </w:tcPr>
          <w:p>
            <w:r>
              <w:t>签名与 PUT</w:t>
            </w:r>
          </w:p>
        </w:tc>
        <w:tc>
          <w:tcPr>
            <w:tcW w:type="dxa" w:w="7776"/>
            <w:vAlign w:val="center"/>
            <w:shd w:fill="EEF3F7"/>
          </w:tcPr>
          <w:p>
            <w:r>
              <w:t>核对 SigV4 签名头与浏览器实际请求头</w:t>
            </w:r>
          </w:p>
        </w:tc>
      </w:tr>
      <w:tr>
        <w:tc>
          <w:tcPr>
            <w:tcW w:type="dxa" w:w="2880"/>
            <w:vAlign w:val="center"/>
            <w:shd w:fill="FFFFFF"/>
          </w:tcPr>
          <w:p>
            <w:r>
              <w:t>中断与续传</w:t>
            </w:r>
          </w:p>
        </w:tc>
        <w:tc>
          <w:tcPr>
            <w:tcW w:type="dxa" w:w="7776"/>
            <w:vAlign w:val="center"/>
            <w:shd w:fill="FFFFFF"/>
          </w:tcPr>
          <w:p>
            <w:r>
              <w:t>区分本地恢复状态和服务端任务状态</w:t>
            </w:r>
          </w:p>
        </w:tc>
      </w:tr>
      <w:tr>
        <w:tc>
          <w:tcPr>
            <w:tcW w:type="dxa" w:w="2880"/>
            <w:vAlign w:val="center"/>
            <w:shd w:fill="EEF3F7"/>
          </w:tcPr>
          <w:p>
            <w:r>
              <w:t>完整性</w:t>
            </w:r>
          </w:p>
        </w:tc>
        <w:tc>
          <w:tcPr>
            <w:tcW w:type="dxa" w:w="7776"/>
            <w:vAlign w:val="center"/>
            <w:shd w:fill="EEF3F7"/>
          </w:tcPr>
          <w:p>
            <w:r>
              <w:t>上传成功后核对对象存在与长度，再进行 HLS 扫描</w:t>
            </w:r>
          </w:p>
        </w:tc>
      </w:tr>
    </w:tbl>
    <w:p/>
    <w:p>
      <w:r>
        <w:t>历史提交 367ebe1、1b7b9f4、7001d8e、bee3acb 对应相关上传改进。现有资料没有足够的最终成功率和 800 MB 上传实测数据，因此不报告虚构成功率。</w:t>
      </w:r>
    </w:p>
    <w:p>
      <w:pPr>
        <w:pStyle w:val="Heading1"/>
      </w:pPr>
      <w:r>
        <w:t>09 从开发走到生产运行</w:t>
      </w:r>
    </w:p>
    <w:p>
      <w:r>
        <w:t>交付链路覆盖本地开发、隔离测试、Staging 验收和 Production 发布。系统运行在自有 VPS 上，使用 Docker、Nginx、MySQL 与 Cloudflare R2。发布需要版本可追溯、备份可核对、健康检查和回滚路径；测试库结果不能替代生产兼容性验证。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481"/>
        <w:gridCol w:w="7481"/>
      </w:tblGrid>
      <w:tr>
        <w:tc>
          <w:tcPr>
            <w:tcW w:type="dxa" w:w="3168"/>
            <w:vAlign w:val="center"/>
            <w:shd w:fill="142B45"/>
          </w:tcPr>
          <w:p>
            <w:r>
              <w:t>组成</w:t>
            </w:r>
          </w:p>
        </w:tc>
        <w:tc>
          <w:tcPr>
            <w:tcW w:type="dxa" w:w="7488"/>
            <w:vAlign w:val="center"/>
            <w:shd w:fill="142B45"/>
          </w:tcPr>
          <w:p>
            <w:r>
              <w:t>在业务中的作用</w:t>
            </w:r>
          </w:p>
        </w:tc>
      </w:tr>
      <w:tr>
        <w:tc>
          <w:tcPr>
            <w:tcW w:type="dxa" w:w="3168"/>
            <w:vAlign w:val="center"/>
            <w:shd w:fill="FFFFFF"/>
          </w:tcPr>
          <w:p>
            <w:r>
              <w:t>后台与学员端</w:t>
            </w:r>
          </w:p>
        </w:tc>
        <w:tc>
          <w:tcPr>
            <w:tcW w:type="dxa" w:w="7488"/>
            <w:vAlign w:val="center"/>
            <w:shd w:fill="FFFFFF"/>
          </w:tcPr>
          <w:p>
            <w:r>
              <w:t>课程运营和在线学习入口</w:t>
            </w:r>
          </w:p>
        </w:tc>
      </w:tr>
      <w:tr>
        <w:tc>
          <w:tcPr>
            <w:tcW w:type="dxa" w:w="3168"/>
            <w:vAlign w:val="center"/>
            <w:shd w:fill="EEF3F7"/>
          </w:tcPr>
          <w:p>
            <w:r>
              <w:t>Express / MySQL</w:t>
            </w:r>
          </w:p>
        </w:tc>
        <w:tc>
          <w:tcPr>
            <w:tcW w:type="dxa" w:w="7488"/>
            <w:vAlign w:val="center"/>
            <w:shd w:fill="EEF3F7"/>
          </w:tcPr>
          <w:p>
            <w:r>
              <w:t>业务 API、账号、课程与授权</w:t>
            </w:r>
          </w:p>
        </w:tc>
      </w:tr>
      <w:tr>
        <w:tc>
          <w:tcPr>
            <w:tcW w:type="dxa" w:w="3168"/>
            <w:vAlign w:val="center"/>
            <w:shd w:fill="FFFFFF"/>
          </w:tcPr>
          <w:p>
            <w:r>
              <w:t>R2 / HLS</w:t>
            </w:r>
          </w:p>
        </w:tc>
        <w:tc>
          <w:tcPr>
            <w:tcW w:type="dxa" w:w="7488"/>
            <w:vAlign w:val="center"/>
            <w:shd w:fill="FFFFFF"/>
          </w:tcPr>
          <w:p>
            <w:r>
              <w:t>保存 playlist 与媒体分片</w:t>
            </w:r>
          </w:p>
        </w:tc>
      </w:tr>
      <w:tr>
        <w:tc>
          <w:tcPr>
            <w:tcW w:type="dxa" w:w="3168"/>
            <w:vAlign w:val="center"/>
            <w:shd w:fill="EEF3F7"/>
          </w:tcPr>
          <w:p>
            <w:r>
              <w:t>VPS / Nginx / Docker</w:t>
            </w:r>
          </w:p>
        </w:tc>
        <w:tc>
          <w:tcPr>
            <w:tcW w:type="dxa" w:w="7488"/>
            <w:vAlign w:val="center"/>
            <w:shd w:fill="EEF3F7"/>
          </w:tcPr>
          <w:p>
            <w:r>
              <w:t>应用运行、入口转发与本地缓存线路</w:t>
            </w:r>
          </w:p>
        </w:tc>
      </w:tr>
    </w:tbl>
    <w:p/>
    <w:p>
      <w:r>
        <w:t>批量预热发布曾记录 Git abeb6d3、Migration 025 和 20 GiB 缓存容量；该记录是 2026-10-19 的历史快照，不代表当前线上状态已在本次重新核验。</w:t>
      </w:r>
    </w:p>
    <w:p>
      <w:pPr>
        <w:pStyle w:val="Heading1"/>
      </w:pPr>
      <w:r>
        <w:t>10 我的能力与面试复盘</w:t>
      </w:r>
    </w:p>
    <w:p>
      <w:r>
        <w:t>这个项目体现的核心能力，是把业务问题转成 AI Agent 能执行、又能验证的工程任务。我能判断何时复用既有系统、何时需要补权限或数据校验，也能要求 AI 对真实请求和数据库结果负责。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481"/>
        <w:gridCol w:w="7481"/>
      </w:tblGrid>
      <w:tr>
        <w:tc>
          <w:tcPr>
            <w:tcW w:type="dxa" w:w="2880"/>
            <w:vAlign w:val="center"/>
            <w:shd w:fill="142B45"/>
          </w:tcPr>
          <w:p>
            <w:r>
              <w:t>能力</w:t>
            </w:r>
          </w:p>
        </w:tc>
        <w:tc>
          <w:tcPr>
            <w:tcW w:type="dxa" w:w="7776"/>
            <w:vAlign w:val="center"/>
            <w:shd w:fill="142B45"/>
          </w:tcPr>
          <w:p>
            <w:r>
              <w:t>项目中的体现</w:t>
            </w:r>
          </w:p>
        </w:tc>
      </w:tr>
      <w:tr>
        <w:tc>
          <w:tcPr>
            <w:tcW w:type="dxa" w:w="2880"/>
            <w:vAlign w:val="center"/>
            <w:shd w:fill="FFFFFF"/>
          </w:tcPr>
          <w:p>
            <w:r>
              <w:t>业务理解</w:t>
            </w:r>
          </w:p>
        </w:tc>
        <w:tc>
          <w:tcPr>
            <w:tcW w:type="dxa" w:w="7776"/>
            <w:vAlign w:val="center"/>
            <w:shd w:fill="FFFFFF"/>
          </w:tcPr>
          <w:p>
            <w:r>
              <w:t>从内容交付、网盘体验和授权管理提炼产品目标</w:t>
            </w:r>
          </w:p>
        </w:tc>
      </w:tr>
      <w:tr>
        <w:tc>
          <w:tcPr>
            <w:tcW w:type="dxa" w:w="2880"/>
            <w:vAlign w:val="center"/>
            <w:shd w:fill="EEF3F7"/>
          </w:tcPr>
          <w:p>
            <w:r>
              <w:t>任务设计</w:t>
            </w:r>
          </w:p>
        </w:tc>
        <w:tc>
          <w:tcPr>
            <w:tcW w:type="dxa" w:w="7776"/>
            <w:vAlign w:val="center"/>
            <w:shd w:fill="EEF3F7"/>
          </w:tcPr>
          <w:p>
            <w:r>
              <w:t>给 Agent 明确上下文、边界、验收和回滚条件</w:t>
            </w:r>
          </w:p>
        </w:tc>
      </w:tr>
      <w:tr>
        <w:tc>
          <w:tcPr>
            <w:tcW w:type="dxa" w:w="2880"/>
            <w:vAlign w:val="center"/>
            <w:shd w:fill="FFFFFF"/>
          </w:tcPr>
          <w:p>
            <w:r>
              <w:t>AI 协作</w:t>
            </w:r>
          </w:p>
        </w:tc>
        <w:tc>
          <w:tcPr>
            <w:tcW w:type="dxa" w:w="7776"/>
            <w:vAlign w:val="center"/>
            <w:shd w:fill="FFFFFF"/>
          </w:tcPr>
          <w:p>
            <w:r>
              <w:t>ChatGPT 分析规划，Codex 阅读代码和实施</w:t>
            </w:r>
          </w:p>
        </w:tc>
      </w:tr>
      <w:tr>
        <w:tc>
          <w:tcPr>
            <w:tcW w:type="dxa" w:w="2880"/>
            <w:vAlign w:val="center"/>
            <w:shd w:fill="EEF3F7"/>
          </w:tcPr>
          <w:p>
            <w:r>
              <w:t>质量意识</w:t>
            </w:r>
          </w:p>
        </w:tc>
        <w:tc>
          <w:tcPr>
            <w:tcW w:type="dxa" w:w="7776"/>
            <w:vAlign w:val="center"/>
            <w:shd w:fill="EEF3F7"/>
          </w:tcPr>
          <w:p>
            <w:r>
              <w:t>区分单测、真实 MySQL、浏览器与人工验收</w:t>
            </w:r>
          </w:p>
        </w:tc>
      </w:tr>
      <w:tr>
        <w:tc>
          <w:tcPr>
            <w:tcW w:type="dxa" w:w="2880"/>
            <w:vAlign w:val="center"/>
            <w:shd w:fill="FFFFFF"/>
          </w:tcPr>
          <w:p>
            <w:r>
              <w:t>交付推进</w:t>
            </w:r>
          </w:p>
        </w:tc>
        <w:tc>
          <w:tcPr>
            <w:tcW w:type="dxa" w:w="7776"/>
            <w:vAlign w:val="center"/>
            <w:shd w:fill="FFFFFF"/>
          </w:tcPr>
          <w:p>
            <w:r>
              <w:t>关注备份、版本、部署健康和业务复核</w:t>
            </w:r>
          </w:p>
        </w:tc>
      </w:tr>
    </w:tbl>
    <w:p/>
    <w:p>
      <w:r>
        <w:t>我掌握的不是一套固定 Prompt，而是利用 AI Coding Agent 解决真实业务问题的方法。</w:t>
      </w:r>
    </w:p>
    <w:p>
      <w:pPr>
        <w:pStyle w:val="Heading1"/>
      </w:pPr>
      <w:r>
        <w:t>证据与事实边界</w:t>
      </w:r>
    </w:p>
    <w:p>
      <w:r>
        <w:t>本案例使用项目已有真实后台截图和 Git 记录。具体版本、测试数量及生产状态均为历史资料时，会在正文注明时间或“历史报告”；未提供的成本、工时、转化率、播放成功率和满意度不作推断。所有截图为已有脱敏素材。</w:t>
      </w:r>
    </w:p>
    <w:sectPr w:rsidR="00FC693F" w:rsidRPr="0006063C" w:rsidSect="00034616">
      <w:footerReference w:type="default" r:id="rId14"/>
      <w:pgSz w:w="16834" w:h="11909" w:orient="landscape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88A"/>
        <w:sz w:val="16"/>
      </w:rPr>
      <w:t>南枫课程系统｜AI Coding 商业落地案例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 Unicode MS" w:hAnsi="Arial Unicode MS" w:eastAsia="Arial Unicode MS"/>
      <w:b w:val="0"/>
      <w:color w:val="2632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0243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0243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10243A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